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3A2CB2">
        <w:rPr>
          <w:rStyle w:val="Emphasis"/>
          <w:b/>
          <w:sz w:val="44"/>
          <w:szCs w:val="44"/>
        </w:rPr>
        <w:t>Weaverham Parish Council</w:t>
      </w:r>
    </w:p>
    <w:p w14:paraId="27DB4E66" w14:textId="77777777" w:rsidR="00D75364" w:rsidRPr="00D75364" w:rsidRDefault="00D75364" w:rsidP="00D75364">
      <w:pPr>
        <w:jc w:val="center"/>
        <w:rPr>
          <w:b/>
          <w:bCs/>
          <w:i/>
          <w:iCs/>
          <w:sz w:val="32"/>
          <w:szCs w:val="32"/>
        </w:rPr>
      </w:pPr>
      <w:r w:rsidRPr="00D75364">
        <w:rPr>
          <w:b/>
          <w:bCs/>
          <w:i/>
          <w:iCs/>
          <w:sz w:val="32"/>
          <w:szCs w:val="32"/>
        </w:rPr>
        <w:t>Subject Access Requests (SARs)</w:t>
      </w:r>
    </w:p>
    <w:p w14:paraId="7319A1CA" w14:textId="77777777" w:rsidR="00D75364" w:rsidRDefault="00D75364" w:rsidP="00D75364">
      <w:pPr>
        <w:jc w:val="both"/>
        <w:rPr>
          <w:rStyle w:val="Emphasis"/>
          <w:b/>
          <w:sz w:val="44"/>
          <w:szCs w:val="44"/>
        </w:rPr>
      </w:pPr>
    </w:p>
    <w:p w14:paraId="45A031AE" w14:textId="77777777" w:rsidR="00D75364" w:rsidRDefault="00D75364" w:rsidP="00D75364">
      <w:pPr>
        <w:jc w:val="both"/>
        <w:rPr>
          <w:rStyle w:val="Emphasis"/>
          <w:b/>
          <w:sz w:val="44"/>
          <w:szCs w:val="44"/>
        </w:rPr>
      </w:pPr>
    </w:p>
    <w:p w14:paraId="5EF026AA" w14:textId="77777777" w:rsidR="00D75364" w:rsidRDefault="00D75364" w:rsidP="00D75364">
      <w:pPr>
        <w:jc w:val="both"/>
        <w:rPr>
          <w:bCs/>
        </w:rPr>
      </w:pPr>
      <w:r w:rsidRPr="00D75364">
        <w:rPr>
          <w:bCs/>
        </w:rPr>
        <w:t>A Subject Access Request (SAR) is a request made by an individual to an organisation asking for access to their personal data. Under data protection laws like the GDPR, individuals have the right to access their personal data held by organisations. This includes the right to obtain a copy of the data, understand how it is being processed, and verify its accuracy. Organisations must respond to SARs without undue delay and within one month of receipt.</w:t>
      </w:r>
    </w:p>
    <w:p w14:paraId="6CB5D9DF" w14:textId="77777777" w:rsidR="00D75364" w:rsidRPr="00D75364" w:rsidRDefault="00D75364" w:rsidP="00D75364">
      <w:pPr>
        <w:jc w:val="both"/>
        <w:rPr>
          <w:bCs/>
        </w:rPr>
      </w:pPr>
    </w:p>
    <w:p w14:paraId="3E082EDC" w14:textId="77777777" w:rsidR="00D75364" w:rsidRDefault="00D75364" w:rsidP="00D75364">
      <w:pPr>
        <w:jc w:val="both"/>
        <w:rPr>
          <w:bCs/>
        </w:rPr>
      </w:pPr>
      <w:r w:rsidRPr="00D75364">
        <w:rPr>
          <w:bCs/>
        </w:rPr>
        <w:t xml:space="preserve">Handling Subject Access Requests (SARs) involves several legal obligations under data protection laws like the GDPR and the Data Protection Act 2018. </w:t>
      </w:r>
    </w:p>
    <w:p w14:paraId="495CEB9E" w14:textId="77777777" w:rsidR="00D75364" w:rsidRPr="00D75364" w:rsidRDefault="00D75364" w:rsidP="00D75364">
      <w:pPr>
        <w:jc w:val="both"/>
        <w:rPr>
          <w:bCs/>
        </w:rPr>
      </w:pPr>
    </w:p>
    <w:p w14:paraId="5AFA855D" w14:textId="77777777" w:rsidR="00D75364" w:rsidRPr="00D75364" w:rsidRDefault="00D75364" w:rsidP="00D75364">
      <w:pPr>
        <w:jc w:val="both"/>
        <w:rPr>
          <w:bCs/>
        </w:rPr>
      </w:pPr>
      <w:r w:rsidRPr="00D75364">
        <w:rPr>
          <w:bCs/>
        </w:rPr>
        <w:t>The key obligations for Weaverham Parish Council:</w:t>
      </w:r>
    </w:p>
    <w:p w14:paraId="4F0C7BC9" w14:textId="77777777" w:rsidR="00D75364" w:rsidRDefault="00D75364" w:rsidP="00D75364">
      <w:pPr>
        <w:numPr>
          <w:ilvl w:val="0"/>
          <w:numId w:val="24"/>
        </w:numPr>
        <w:jc w:val="both"/>
        <w:rPr>
          <w:bCs/>
        </w:rPr>
      </w:pPr>
      <w:r w:rsidRPr="00D75364">
        <w:rPr>
          <w:bCs/>
        </w:rPr>
        <w:t>Respond Promptly: Weaverham Parish Council must respond to a SAR without undue delay and within one month of receipt. If the request is complex or numerous, Weaverham Parish Council can extend the response time by a further two months, but the individual must be informed within the first month.</w:t>
      </w:r>
    </w:p>
    <w:p w14:paraId="6A4ED0E6" w14:textId="77777777" w:rsidR="00D75364" w:rsidRDefault="00D75364" w:rsidP="00D75364">
      <w:pPr>
        <w:ind w:left="720"/>
        <w:jc w:val="both"/>
        <w:rPr>
          <w:bCs/>
        </w:rPr>
      </w:pPr>
    </w:p>
    <w:p w14:paraId="5AB7DADC" w14:textId="63233285" w:rsidR="00D75364" w:rsidRDefault="00D75364" w:rsidP="00D75364">
      <w:pPr>
        <w:numPr>
          <w:ilvl w:val="0"/>
          <w:numId w:val="24"/>
        </w:numPr>
        <w:jc w:val="both"/>
        <w:rPr>
          <w:bCs/>
        </w:rPr>
      </w:pPr>
      <w:r w:rsidRPr="00D75364">
        <w:rPr>
          <w:bCs/>
        </w:rPr>
        <w:t>Verify Identity: Before providing personal data, verify the identity of the person making the request to ensure that Weaverham Parish Council are releasing information to the correct individual.</w:t>
      </w:r>
    </w:p>
    <w:p w14:paraId="77E3AFE9" w14:textId="77777777" w:rsidR="00D75364" w:rsidRPr="00D75364" w:rsidRDefault="00D75364" w:rsidP="00D75364">
      <w:pPr>
        <w:jc w:val="both"/>
        <w:rPr>
          <w:bCs/>
        </w:rPr>
      </w:pPr>
    </w:p>
    <w:p w14:paraId="775133EB" w14:textId="77777777" w:rsidR="00D75364" w:rsidRDefault="00D75364" w:rsidP="00D75364">
      <w:pPr>
        <w:numPr>
          <w:ilvl w:val="0"/>
          <w:numId w:val="24"/>
        </w:numPr>
        <w:jc w:val="both"/>
        <w:rPr>
          <w:bCs/>
        </w:rPr>
      </w:pPr>
      <w:r w:rsidRPr="00D75364">
        <w:rPr>
          <w:bCs/>
        </w:rPr>
        <w:t>Provide Access: Weaverham Parish Council must provide the individual with a copy of their personal data. This can be in a physical format (e.g., printed copy) or electronic format, depending on the individual's preference.</w:t>
      </w:r>
    </w:p>
    <w:p w14:paraId="1554AEDB" w14:textId="77777777" w:rsidR="00D75364" w:rsidRPr="00D75364" w:rsidRDefault="00D75364" w:rsidP="00D75364">
      <w:pPr>
        <w:ind w:left="720"/>
        <w:jc w:val="both"/>
        <w:rPr>
          <w:bCs/>
        </w:rPr>
      </w:pPr>
    </w:p>
    <w:p w14:paraId="56168E19" w14:textId="29F7E69B" w:rsidR="00D75364" w:rsidRDefault="00D75364" w:rsidP="006A1DF8">
      <w:pPr>
        <w:numPr>
          <w:ilvl w:val="0"/>
          <w:numId w:val="24"/>
        </w:numPr>
        <w:jc w:val="both"/>
        <w:rPr>
          <w:bCs/>
        </w:rPr>
      </w:pPr>
      <w:r w:rsidRPr="00D75364">
        <w:rPr>
          <w:bCs/>
        </w:rPr>
        <w:t>Explain Data Usage: Along with the data, Weaverham Parish Council must provide information on how the data is being processed, including the purposes of processing, categories of data, recipients of the data, and any data transfers to third countries.</w:t>
      </w:r>
    </w:p>
    <w:p w14:paraId="63603317" w14:textId="77777777" w:rsidR="00D75364" w:rsidRPr="00D75364" w:rsidRDefault="00D75364" w:rsidP="00D75364">
      <w:pPr>
        <w:jc w:val="both"/>
        <w:rPr>
          <w:bCs/>
        </w:rPr>
      </w:pPr>
    </w:p>
    <w:p w14:paraId="7F0994D1" w14:textId="24F28E96" w:rsidR="00D75364" w:rsidRDefault="00D75364" w:rsidP="00D75364">
      <w:pPr>
        <w:numPr>
          <w:ilvl w:val="0"/>
          <w:numId w:val="24"/>
        </w:numPr>
        <w:jc w:val="both"/>
        <w:rPr>
          <w:bCs/>
        </w:rPr>
      </w:pPr>
      <w:r w:rsidRPr="00D75364">
        <w:rPr>
          <w:bCs/>
        </w:rPr>
        <w:t>Third-Party Information: If the personal data includes information about other individuals, Weaverham Parish Council must remove or redact this information before providing the data to the requester.</w:t>
      </w:r>
    </w:p>
    <w:p w14:paraId="3A9508BC" w14:textId="77777777" w:rsidR="00D75364" w:rsidRPr="00D75364" w:rsidRDefault="00D75364" w:rsidP="00D75364">
      <w:pPr>
        <w:jc w:val="both"/>
        <w:rPr>
          <w:bCs/>
        </w:rPr>
      </w:pPr>
    </w:p>
    <w:p w14:paraId="7DC8E7DA" w14:textId="43A93F9B" w:rsidR="00D75364" w:rsidRDefault="00D75364" w:rsidP="003D551A">
      <w:pPr>
        <w:numPr>
          <w:ilvl w:val="0"/>
          <w:numId w:val="24"/>
        </w:numPr>
        <w:jc w:val="both"/>
        <w:rPr>
          <w:bCs/>
        </w:rPr>
      </w:pPr>
      <w:r w:rsidRPr="00D75364">
        <w:rPr>
          <w:bCs/>
        </w:rPr>
        <w:t>Provide Data Safely: Ensure that the data is provided in a secure manner to prevent unauthorised access during transmission.</w:t>
      </w:r>
    </w:p>
    <w:p w14:paraId="2D927F18" w14:textId="77777777" w:rsidR="00D75364" w:rsidRPr="00D75364" w:rsidRDefault="00D75364" w:rsidP="00D75364">
      <w:pPr>
        <w:jc w:val="both"/>
        <w:rPr>
          <w:bCs/>
        </w:rPr>
      </w:pPr>
    </w:p>
    <w:p w14:paraId="317D7229" w14:textId="6AE74D49" w:rsidR="00D75364" w:rsidRDefault="00D75364" w:rsidP="00A72B64">
      <w:pPr>
        <w:numPr>
          <w:ilvl w:val="0"/>
          <w:numId w:val="24"/>
        </w:numPr>
        <w:jc w:val="both"/>
        <w:rPr>
          <w:bCs/>
        </w:rPr>
      </w:pPr>
      <w:r w:rsidRPr="00D75364">
        <w:rPr>
          <w:bCs/>
        </w:rPr>
        <w:t>No Charge: Weaverham Parish Council must provide the information free of charge, unless the request is manifestly unfounded or excessive, in which case a reasonable fee to cover administrative costs can be charged.</w:t>
      </w:r>
    </w:p>
    <w:p w14:paraId="6EB54D30" w14:textId="77777777" w:rsidR="00D75364" w:rsidRPr="00D75364" w:rsidRDefault="00D75364" w:rsidP="00D75364">
      <w:pPr>
        <w:jc w:val="both"/>
        <w:rPr>
          <w:bCs/>
        </w:rPr>
      </w:pPr>
    </w:p>
    <w:p w14:paraId="515910F2" w14:textId="61D1C332" w:rsidR="00D75364" w:rsidRDefault="00D75364" w:rsidP="00D75364">
      <w:pPr>
        <w:numPr>
          <w:ilvl w:val="0"/>
          <w:numId w:val="24"/>
        </w:numPr>
        <w:jc w:val="both"/>
        <w:rPr>
          <w:bCs/>
        </w:rPr>
      </w:pPr>
      <w:r w:rsidRPr="00D75364">
        <w:rPr>
          <w:bCs/>
        </w:rPr>
        <w:t xml:space="preserve">Right to Complain: Inform the individual of their right to lodge a complaint with the supervisory authority (e.g., the Information Commissioner's Office or Chester and Cheshire West </w:t>
      </w:r>
      <w:proofErr w:type="gramStart"/>
      <w:r w:rsidR="00EB3402">
        <w:rPr>
          <w:bCs/>
        </w:rPr>
        <w:t xml:space="preserve">Borough </w:t>
      </w:r>
      <w:r w:rsidRPr="00D75364">
        <w:rPr>
          <w:bCs/>
        </w:rPr>
        <w:t xml:space="preserve"> </w:t>
      </w:r>
      <w:r w:rsidR="00EB3402">
        <w:rPr>
          <w:bCs/>
        </w:rPr>
        <w:t>C</w:t>
      </w:r>
      <w:r w:rsidRPr="00D75364">
        <w:rPr>
          <w:bCs/>
        </w:rPr>
        <w:t>ouncil</w:t>
      </w:r>
      <w:proofErr w:type="gramEnd"/>
      <w:r w:rsidRPr="00D75364">
        <w:rPr>
          <w:bCs/>
        </w:rPr>
        <w:t>) if they are dissatisfied with how their request is handled.</w:t>
      </w:r>
    </w:p>
    <w:p w14:paraId="77812EB2" w14:textId="77777777" w:rsidR="00D75364" w:rsidRPr="00D75364" w:rsidRDefault="00D75364" w:rsidP="00D75364">
      <w:pPr>
        <w:jc w:val="both"/>
        <w:rPr>
          <w:bCs/>
        </w:rPr>
      </w:pPr>
    </w:p>
    <w:p w14:paraId="60EBF851" w14:textId="77777777" w:rsidR="00D75364" w:rsidRPr="00D75364" w:rsidRDefault="00D75364" w:rsidP="00D75364">
      <w:pPr>
        <w:numPr>
          <w:ilvl w:val="0"/>
          <w:numId w:val="24"/>
        </w:numPr>
        <w:jc w:val="both"/>
        <w:rPr>
          <w:bCs/>
        </w:rPr>
      </w:pPr>
      <w:r w:rsidRPr="00D75364">
        <w:rPr>
          <w:bCs/>
        </w:rPr>
        <w:t>Document Requests: Keep a record of SARs received, including details of the request, how it was handled, and any exemptions applied</w:t>
      </w:r>
    </w:p>
    <w:p w14:paraId="2BF20C0B" w14:textId="77777777" w:rsidR="00D75364" w:rsidRDefault="00D75364" w:rsidP="00D75364">
      <w:pPr>
        <w:jc w:val="both"/>
        <w:rPr>
          <w:rStyle w:val="Emphasis"/>
          <w:b/>
          <w:sz w:val="44"/>
          <w:szCs w:val="44"/>
        </w:rPr>
      </w:pPr>
    </w:p>
    <w:sectPr w:rsidR="00D75364" w:rsidSect="00642740">
      <w:footerReference w:type="default" r:id="rId9"/>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B5B1" w14:textId="77777777" w:rsidR="00B23EFB" w:rsidRDefault="00B23EFB" w:rsidP="00FD1D7F">
      <w:r>
        <w:separator/>
      </w:r>
    </w:p>
  </w:endnote>
  <w:endnote w:type="continuationSeparator" w:id="0">
    <w:p w14:paraId="4631D254" w14:textId="77777777" w:rsidR="00B23EFB" w:rsidRDefault="00B23EFB"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F338" w14:textId="347CCD14" w:rsidR="00FD1D7F" w:rsidRPr="00E8071C" w:rsidRDefault="00D75364" w:rsidP="00E8071C">
    <w:pPr>
      <w:pStyle w:val="Footer"/>
    </w:pPr>
    <w:r>
      <w:t xml:space="preserve">Subject Access Request </w:t>
    </w:r>
    <w:r w:rsidR="00E8071C">
      <w:t xml:space="preserve">Policy </w:t>
    </w:r>
    <w:r w:rsidR="00E8071C">
      <w:tab/>
      <w:t>March 25</w:t>
    </w:r>
    <w:r w:rsidR="00E8071C">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E59B2" w14:textId="77777777" w:rsidR="00B23EFB" w:rsidRDefault="00B23EFB" w:rsidP="00FD1D7F">
      <w:r>
        <w:separator/>
      </w:r>
    </w:p>
  </w:footnote>
  <w:footnote w:type="continuationSeparator" w:id="0">
    <w:p w14:paraId="751AB173" w14:textId="77777777" w:rsidR="00B23EFB" w:rsidRDefault="00B23EFB"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034BAE"/>
    <w:multiLevelType w:val="multilevel"/>
    <w:tmpl w:val="52D6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625EF1"/>
    <w:multiLevelType w:val="multilevel"/>
    <w:tmpl w:val="125A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59A3DAA"/>
    <w:multiLevelType w:val="multilevel"/>
    <w:tmpl w:val="D2AC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FB91534"/>
    <w:multiLevelType w:val="multilevel"/>
    <w:tmpl w:val="2CF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33B6E"/>
    <w:multiLevelType w:val="multilevel"/>
    <w:tmpl w:val="6BC8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578A11C2"/>
    <w:multiLevelType w:val="multilevel"/>
    <w:tmpl w:val="FB64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B8716D5"/>
    <w:multiLevelType w:val="multilevel"/>
    <w:tmpl w:val="3AEC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1D666C1"/>
    <w:multiLevelType w:val="multilevel"/>
    <w:tmpl w:val="A942F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51700350">
    <w:abstractNumId w:val="11"/>
  </w:num>
  <w:num w:numId="2" w16cid:durableId="1094403005">
    <w:abstractNumId w:val="13"/>
  </w:num>
  <w:num w:numId="3" w16cid:durableId="1904172057">
    <w:abstractNumId w:val="16"/>
  </w:num>
  <w:num w:numId="4" w16cid:durableId="1110079224">
    <w:abstractNumId w:val="15"/>
  </w:num>
  <w:num w:numId="5" w16cid:durableId="338773986">
    <w:abstractNumId w:val="17"/>
  </w:num>
  <w:num w:numId="6" w16cid:durableId="148012727">
    <w:abstractNumId w:val="19"/>
  </w:num>
  <w:num w:numId="7" w16cid:durableId="373969603">
    <w:abstractNumId w:val="21"/>
  </w:num>
  <w:num w:numId="8" w16cid:durableId="1071082947">
    <w:abstractNumId w:val="3"/>
  </w:num>
  <w:num w:numId="9" w16cid:durableId="206234">
    <w:abstractNumId w:val="5"/>
  </w:num>
  <w:num w:numId="10" w16cid:durableId="884878228">
    <w:abstractNumId w:val="23"/>
  </w:num>
  <w:num w:numId="11" w16cid:durableId="1133911295">
    <w:abstractNumId w:val="0"/>
  </w:num>
  <w:num w:numId="12" w16cid:durableId="1873762162">
    <w:abstractNumId w:val="14"/>
  </w:num>
  <w:num w:numId="13" w16cid:durableId="1962488746">
    <w:abstractNumId w:val="7"/>
  </w:num>
  <w:num w:numId="14" w16cid:durableId="1154957531">
    <w:abstractNumId w:val="8"/>
  </w:num>
  <w:num w:numId="15" w16cid:durableId="1149443697">
    <w:abstractNumId w:val="2"/>
  </w:num>
  <w:num w:numId="16" w16cid:durableId="351567318">
    <w:abstractNumId w:val="12"/>
  </w:num>
  <w:num w:numId="17" w16cid:durableId="1970162267">
    <w:abstractNumId w:val="9"/>
  </w:num>
  <w:num w:numId="18" w16cid:durableId="1632708170">
    <w:abstractNumId w:val="10"/>
  </w:num>
  <w:num w:numId="19" w16cid:durableId="1994874840">
    <w:abstractNumId w:val="4"/>
  </w:num>
  <w:num w:numId="20" w16cid:durableId="1780446433">
    <w:abstractNumId w:val="20"/>
  </w:num>
  <w:num w:numId="21" w16cid:durableId="1706443404">
    <w:abstractNumId w:val="1"/>
  </w:num>
  <w:num w:numId="22" w16cid:durableId="324473897">
    <w:abstractNumId w:val="6"/>
  </w:num>
  <w:num w:numId="23" w16cid:durableId="2113471094">
    <w:abstractNumId w:val="18"/>
  </w:num>
  <w:num w:numId="24" w16cid:durableId="1731883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5015"/>
    <w:rsid w:val="00130B4C"/>
    <w:rsid w:val="0013248B"/>
    <w:rsid w:val="001326F1"/>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19EF"/>
    <w:rsid w:val="00245832"/>
    <w:rsid w:val="00245A84"/>
    <w:rsid w:val="00253C4E"/>
    <w:rsid w:val="002555BB"/>
    <w:rsid w:val="002568AA"/>
    <w:rsid w:val="0026012B"/>
    <w:rsid w:val="002625C7"/>
    <w:rsid w:val="002663BF"/>
    <w:rsid w:val="00271BC6"/>
    <w:rsid w:val="002765F4"/>
    <w:rsid w:val="002768DA"/>
    <w:rsid w:val="00277269"/>
    <w:rsid w:val="00280790"/>
    <w:rsid w:val="002812E9"/>
    <w:rsid w:val="00287E36"/>
    <w:rsid w:val="00291A5E"/>
    <w:rsid w:val="00295A54"/>
    <w:rsid w:val="002A3558"/>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517"/>
    <w:rsid w:val="0033324E"/>
    <w:rsid w:val="0033423E"/>
    <w:rsid w:val="00340086"/>
    <w:rsid w:val="00340A0B"/>
    <w:rsid w:val="00344B39"/>
    <w:rsid w:val="0034603E"/>
    <w:rsid w:val="00350D51"/>
    <w:rsid w:val="00353F5D"/>
    <w:rsid w:val="003543E4"/>
    <w:rsid w:val="0035694C"/>
    <w:rsid w:val="00356A9C"/>
    <w:rsid w:val="0036756A"/>
    <w:rsid w:val="00370466"/>
    <w:rsid w:val="00377574"/>
    <w:rsid w:val="00381A80"/>
    <w:rsid w:val="00384799"/>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2DE0"/>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3FEA"/>
    <w:rsid w:val="00654AD4"/>
    <w:rsid w:val="00655FAB"/>
    <w:rsid w:val="00660718"/>
    <w:rsid w:val="00662508"/>
    <w:rsid w:val="006704B8"/>
    <w:rsid w:val="006769CC"/>
    <w:rsid w:val="00682C53"/>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735D"/>
    <w:rsid w:val="0072737C"/>
    <w:rsid w:val="0072784A"/>
    <w:rsid w:val="007303CC"/>
    <w:rsid w:val="0073776B"/>
    <w:rsid w:val="007408D8"/>
    <w:rsid w:val="007436A8"/>
    <w:rsid w:val="007458C5"/>
    <w:rsid w:val="007474AB"/>
    <w:rsid w:val="00750A98"/>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7995"/>
    <w:rsid w:val="007A0C4C"/>
    <w:rsid w:val="007A0D5D"/>
    <w:rsid w:val="007A43C2"/>
    <w:rsid w:val="007B0454"/>
    <w:rsid w:val="007B3F19"/>
    <w:rsid w:val="007B4C19"/>
    <w:rsid w:val="007B68D1"/>
    <w:rsid w:val="007C3010"/>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3279"/>
    <w:rsid w:val="008B4256"/>
    <w:rsid w:val="008B67D5"/>
    <w:rsid w:val="008B77B2"/>
    <w:rsid w:val="008C0CC6"/>
    <w:rsid w:val="008C189D"/>
    <w:rsid w:val="008C476E"/>
    <w:rsid w:val="008C7281"/>
    <w:rsid w:val="008C7DB6"/>
    <w:rsid w:val="008D1540"/>
    <w:rsid w:val="008D6549"/>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43AD7"/>
    <w:rsid w:val="00945FD6"/>
    <w:rsid w:val="009469C8"/>
    <w:rsid w:val="009510AB"/>
    <w:rsid w:val="009579E7"/>
    <w:rsid w:val="00961831"/>
    <w:rsid w:val="00963301"/>
    <w:rsid w:val="00966066"/>
    <w:rsid w:val="00966882"/>
    <w:rsid w:val="009763E8"/>
    <w:rsid w:val="00977F9F"/>
    <w:rsid w:val="00985117"/>
    <w:rsid w:val="009943F5"/>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24C6"/>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3EFB"/>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413BA"/>
    <w:rsid w:val="00D446D5"/>
    <w:rsid w:val="00D45FCA"/>
    <w:rsid w:val="00D5080E"/>
    <w:rsid w:val="00D5493E"/>
    <w:rsid w:val="00D55811"/>
    <w:rsid w:val="00D57809"/>
    <w:rsid w:val="00D61A70"/>
    <w:rsid w:val="00D73A1B"/>
    <w:rsid w:val="00D73F7A"/>
    <w:rsid w:val="00D75364"/>
    <w:rsid w:val="00D77CD4"/>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2C5D"/>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114FE"/>
    <w:rsid w:val="00E1156F"/>
    <w:rsid w:val="00E16059"/>
    <w:rsid w:val="00E16EFD"/>
    <w:rsid w:val="00E1724E"/>
    <w:rsid w:val="00E175AA"/>
    <w:rsid w:val="00E2051C"/>
    <w:rsid w:val="00E21D08"/>
    <w:rsid w:val="00E24FF0"/>
    <w:rsid w:val="00E2554B"/>
    <w:rsid w:val="00E337F7"/>
    <w:rsid w:val="00E46523"/>
    <w:rsid w:val="00E47CB4"/>
    <w:rsid w:val="00E508F5"/>
    <w:rsid w:val="00E53C1A"/>
    <w:rsid w:val="00E54396"/>
    <w:rsid w:val="00E577D0"/>
    <w:rsid w:val="00E61BF2"/>
    <w:rsid w:val="00E64D92"/>
    <w:rsid w:val="00E67A6C"/>
    <w:rsid w:val="00E748F1"/>
    <w:rsid w:val="00E75546"/>
    <w:rsid w:val="00E77632"/>
    <w:rsid w:val="00E8071C"/>
    <w:rsid w:val="00E82A35"/>
    <w:rsid w:val="00E83068"/>
    <w:rsid w:val="00E84836"/>
    <w:rsid w:val="00E86FEA"/>
    <w:rsid w:val="00E87712"/>
    <w:rsid w:val="00E87758"/>
    <w:rsid w:val="00E96EA7"/>
    <w:rsid w:val="00EA08AE"/>
    <w:rsid w:val="00EA565E"/>
    <w:rsid w:val="00EA5675"/>
    <w:rsid w:val="00EA5C6A"/>
    <w:rsid w:val="00EA67D7"/>
    <w:rsid w:val="00EB0ED0"/>
    <w:rsid w:val="00EB23D2"/>
    <w:rsid w:val="00EB27A5"/>
    <w:rsid w:val="00EB2C96"/>
    <w:rsid w:val="00EB3311"/>
    <w:rsid w:val="00EB3402"/>
    <w:rsid w:val="00EB48D2"/>
    <w:rsid w:val="00EB60B9"/>
    <w:rsid w:val="00EB6DA0"/>
    <w:rsid w:val="00EC459A"/>
    <w:rsid w:val="00ED0165"/>
    <w:rsid w:val="00ED1FC0"/>
    <w:rsid w:val="00ED246C"/>
    <w:rsid w:val="00EE0E28"/>
    <w:rsid w:val="00EE282A"/>
    <w:rsid w:val="00EE2F3D"/>
    <w:rsid w:val="00EE792E"/>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6E2C"/>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B0BEA"/>
    <w:rsid w:val="00FB1319"/>
    <w:rsid w:val="00FB29D2"/>
    <w:rsid w:val="00FB3393"/>
    <w:rsid w:val="00FB3ADB"/>
    <w:rsid w:val="00FB3D22"/>
    <w:rsid w:val="00FB4143"/>
    <w:rsid w:val="00FB4149"/>
    <w:rsid w:val="00FB44E9"/>
    <w:rsid w:val="00FC1165"/>
    <w:rsid w:val="00FC2E7A"/>
    <w:rsid w:val="00FC37B1"/>
    <w:rsid w:val="00FC4CC6"/>
    <w:rsid w:val="00FC56D8"/>
    <w:rsid w:val="00FC79EF"/>
    <w:rsid w:val="00FD1D7F"/>
    <w:rsid w:val="00FD3398"/>
    <w:rsid w:val="00FE0C86"/>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uiPriority w:val="34"/>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 w:type="paragraph" w:styleId="NormalWeb">
    <w:name w:val="Normal (Web)"/>
    <w:basedOn w:val="Normal"/>
    <w:uiPriority w:val="99"/>
    <w:semiHidden/>
    <w:unhideWhenUsed/>
    <w:rsid w:val="00E8071C"/>
    <w:pPr>
      <w:spacing w:before="100" w:beforeAutospacing="1" w:after="100" w:afterAutospacing="1"/>
    </w:pPr>
    <w:rPr>
      <w:rFonts w:eastAsia="Times New Roman"/>
      <w:lang w:eastAsia="en-GB"/>
    </w:rPr>
  </w:style>
  <w:style w:type="character" w:styleId="Strong">
    <w:name w:val="Strong"/>
    <w:basedOn w:val="DefaultParagraphFont"/>
    <w:uiPriority w:val="22"/>
    <w:qFormat/>
    <w:rsid w:val="00E80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4446">
      <w:bodyDiv w:val="1"/>
      <w:marLeft w:val="0"/>
      <w:marRight w:val="0"/>
      <w:marTop w:val="0"/>
      <w:marBottom w:val="0"/>
      <w:divBdr>
        <w:top w:val="none" w:sz="0" w:space="0" w:color="auto"/>
        <w:left w:val="none" w:sz="0" w:space="0" w:color="auto"/>
        <w:bottom w:val="none" w:sz="0" w:space="0" w:color="auto"/>
        <w:right w:val="none" w:sz="0" w:space="0" w:color="auto"/>
      </w:divBdr>
    </w:div>
    <w:div w:id="41445808">
      <w:bodyDiv w:val="1"/>
      <w:marLeft w:val="0"/>
      <w:marRight w:val="0"/>
      <w:marTop w:val="0"/>
      <w:marBottom w:val="0"/>
      <w:divBdr>
        <w:top w:val="none" w:sz="0" w:space="0" w:color="auto"/>
        <w:left w:val="none" w:sz="0" w:space="0" w:color="auto"/>
        <w:bottom w:val="none" w:sz="0" w:space="0" w:color="auto"/>
        <w:right w:val="none" w:sz="0" w:space="0" w:color="auto"/>
      </w:divBdr>
    </w:div>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2761999">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358242346">
      <w:bodyDiv w:val="1"/>
      <w:marLeft w:val="0"/>
      <w:marRight w:val="0"/>
      <w:marTop w:val="0"/>
      <w:marBottom w:val="0"/>
      <w:divBdr>
        <w:top w:val="none" w:sz="0" w:space="0" w:color="auto"/>
        <w:left w:val="none" w:sz="0" w:space="0" w:color="auto"/>
        <w:bottom w:val="none" w:sz="0" w:space="0" w:color="auto"/>
        <w:right w:val="none" w:sz="0" w:space="0" w:color="auto"/>
      </w:divBdr>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2619</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3</cp:revision>
  <cp:lastPrinted>2021-01-15T12:17:00Z</cp:lastPrinted>
  <dcterms:created xsi:type="dcterms:W3CDTF">2025-02-14T10:10:00Z</dcterms:created>
  <dcterms:modified xsi:type="dcterms:W3CDTF">2025-04-01T10:14:00Z</dcterms:modified>
</cp:coreProperties>
</file>